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F3" w:rsidRPr="00180DF3" w:rsidRDefault="00180DF3" w:rsidP="00180DF3">
      <w:pPr>
        <w:spacing w:after="0"/>
        <w:jc w:val="right"/>
        <w:rPr>
          <w:rFonts w:ascii="Times New Roman" w:hAnsi="Times New Roman" w:cs="Times New Roman"/>
        </w:rPr>
      </w:pPr>
      <w:r w:rsidRPr="00180DF3">
        <w:rPr>
          <w:rFonts w:ascii="Times New Roman" w:hAnsi="Times New Roman" w:cs="Times New Roman"/>
        </w:rPr>
        <w:t>Приложение</w:t>
      </w:r>
    </w:p>
    <w:p w:rsidR="00180DF3" w:rsidRPr="00180DF3" w:rsidRDefault="00180DF3" w:rsidP="00180DF3">
      <w:pPr>
        <w:spacing w:after="0"/>
        <w:jc w:val="right"/>
        <w:rPr>
          <w:rFonts w:ascii="Times New Roman" w:hAnsi="Times New Roman" w:cs="Times New Roman"/>
        </w:rPr>
      </w:pPr>
      <w:r w:rsidRPr="00180DF3">
        <w:rPr>
          <w:rFonts w:ascii="Times New Roman" w:hAnsi="Times New Roman" w:cs="Times New Roman"/>
        </w:rPr>
        <w:t xml:space="preserve">                                                                      к приказу МБОУ «Школа №3»</w:t>
      </w:r>
    </w:p>
    <w:p w:rsidR="00180DF3" w:rsidRPr="00180DF3" w:rsidRDefault="00180DF3" w:rsidP="00180DF3">
      <w:pPr>
        <w:spacing w:after="0"/>
        <w:jc w:val="right"/>
        <w:rPr>
          <w:rFonts w:ascii="Times New Roman" w:hAnsi="Times New Roman" w:cs="Times New Roman"/>
        </w:rPr>
      </w:pPr>
      <w:r w:rsidRPr="00180DF3">
        <w:rPr>
          <w:rFonts w:ascii="Times New Roman" w:hAnsi="Times New Roman" w:cs="Times New Roman"/>
        </w:rPr>
        <w:t xml:space="preserve">                                                          </w:t>
      </w:r>
      <w:r w:rsidR="00B11F40">
        <w:rPr>
          <w:rFonts w:ascii="Times New Roman" w:hAnsi="Times New Roman" w:cs="Times New Roman"/>
        </w:rPr>
        <w:t xml:space="preserve">            от «____»______2019</w:t>
      </w:r>
      <w:r w:rsidRPr="00180DF3">
        <w:rPr>
          <w:rFonts w:ascii="Times New Roman" w:hAnsi="Times New Roman" w:cs="Times New Roman"/>
        </w:rPr>
        <w:t>г. № ___</w:t>
      </w:r>
    </w:p>
    <w:p w:rsidR="00180DF3" w:rsidRPr="00180DF3" w:rsidRDefault="00180DF3" w:rsidP="0018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 w:themeColor="background2" w:themeShade="1A"/>
          <w:szCs w:val="28"/>
          <w:lang w:eastAsia="ru-RU"/>
        </w:rPr>
      </w:pPr>
    </w:p>
    <w:p w:rsidR="00180DF3" w:rsidRPr="00180DF3" w:rsidRDefault="00180DF3" w:rsidP="0018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 w:themeColor="background2" w:themeShade="1A"/>
          <w:szCs w:val="28"/>
          <w:lang w:eastAsia="ru-RU"/>
        </w:rPr>
      </w:pPr>
    </w:p>
    <w:p w:rsidR="00180DF3" w:rsidRPr="00180DF3" w:rsidRDefault="00180DF3" w:rsidP="00180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 w:themeColor="background2" w:themeShade="1A"/>
          <w:szCs w:val="28"/>
          <w:lang w:eastAsia="ru-RU"/>
        </w:rPr>
      </w:pPr>
    </w:p>
    <w:p w:rsidR="00180DF3" w:rsidRPr="00180DF3" w:rsidRDefault="00180DF3" w:rsidP="00180DF3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80DF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Муниципальное бюджетное образовательное учреждение</w:t>
      </w:r>
    </w:p>
    <w:p w:rsidR="00180DF3" w:rsidRPr="00180DF3" w:rsidRDefault="00180DF3" w:rsidP="00180DF3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80DF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«Средняя общеобразовательная школа № 3»</w:t>
      </w:r>
    </w:p>
    <w:p w:rsidR="00180DF3" w:rsidRPr="00180DF3" w:rsidRDefault="00180DF3" w:rsidP="00180DF3">
      <w:pPr>
        <w:spacing w:after="0" w:line="240" w:lineRule="auto"/>
        <w:jc w:val="center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180DF3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ab/>
      </w:r>
    </w:p>
    <w:p w:rsidR="00180DF3" w:rsidRPr="00180DF3" w:rsidRDefault="00180DF3" w:rsidP="00180DF3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180DF3" w:rsidRPr="00180DF3" w:rsidRDefault="00180DF3" w:rsidP="00180DF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0DF3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СОГЛАСОВАН</w:t>
      </w:r>
      <w:r w:rsidRPr="00180D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              </w:t>
      </w:r>
    </w:p>
    <w:p w:rsidR="00180DF3" w:rsidRPr="00180DF3" w:rsidRDefault="00B11F40" w:rsidP="00180DF3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заместитель директора по ВР</w:t>
      </w:r>
    </w:p>
    <w:p w:rsidR="00180DF3" w:rsidRPr="00180DF3" w:rsidRDefault="00B11F40" w:rsidP="00180DF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____________/Л.В.Миллер</w:t>
      </w:r>
      <w:r w:rsidR="00180DF3" w:rsidRPr="00180DF3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/</w:t>
      </w:r>
    </w:p>
    <w:p w:rsidR="00180DF3" w:rsidRPr="00180DF3" w:rsidRDefault="00180DF3" w:rsidP="00180DF3">
      <w:p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180DF3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______________</w:t>
      </w:r>
      <w:r w:rsidR="00B11F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___2019</w:t>
      </w:r>
      <w:r w:rsidRPr="00180DF3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г.</w:t>
      </w:r>
      <w:r w:rsidRPr="00180DF3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           </w:t>
      </w:r>
    </w:p>
    <w:p w:rsidR="00180DF3" w:rsidRPr="00180DF3" w:rsidRDefault="00180DF3" w:rsidP="00180DF3">
      <w:pPr>
        <w:spacing w:after="0" w:line="240" w:lineRule="auto"/>
        <w:rPr>
          <w:rFonts w:ascii="Times New Roman" w:eastAsiaTheme="majorEastAsia" w:hAnsi="Times New Roman" w:cs="Times New Roman"/>
          <w:color w:val="1D1B11" w:themeColor="background2" w:themeShade="1A"/>
          <w:sz w:val="28"/>
          <w:szCs w:val="28"/>
        </w:rPr>
      </w:pPr>
    </w:p>
    <w:p w:rsidR="00180DF3" w:rsidRPr="00180DF3" w:rsidRDefault="00180DF3" w:rsidP="00180DF3">
      <w:pPr>
        <w:spacing w:after="0" w:line="240" w:lineRule="auto"/>
        <w:rPr>
          <w:rFonts w:ascii="Times New Roman" w:eastAsiaTheme="majorEastAsia" w:hAnsi="Times New Roman" w:cs="Times New Roman"/>
          <w:color w:val="1D1B11" w:themeColor="background2" w:themeShade="1A"/>
          <w:sz w:val="28"/>
          <w:szCs w:val="28"/>
        </w:rPr>
      </w:pPr>
    </w:p>
    <w:p w:rsidR="00180DF3" w:rsidRPr="00180DF3" w:rsidRDefault="00180DF3" w:rsidP="00180DF3">
      <w:pPr>
        <w:spacing w:after="0" w:line="240" w:lineRule="auto"/>
        <w:rPr>
          <w:rFonts w:ascii="Times New Roman" w:eastAsiaTheme="majorEastAsia" w:hAnsi="Times New Roman" w:cs="Times New Roman"/>
          <w:color w:val="1D1B11" w:themeColor="background2" w:themeShade="1A"/>
          <w:sz w:val="28"/>
          <w:szCs w:val="28"/>
        </w:rPr>
      </w:pPr>
    </w:p>
    <w:p w:rsidR="00180DF3" w:rsidRPr="00180DF3" w:rsidRDefault="00180DF3" w:rsidP="00180DF3">
      <w:pPr>
        <w:spacing w:after="0" w:line="240" w:lineRule="auto"/>
        <w:rPr>
          <w:rFonts w:ascii="Times New Roman" w:eastAsiaTheme="majorEastAsia" w:hAnsi="Times New Roman" w:cs="Times New Roman"/>
          <w:color w:val="1D1B11" w:themeColor="background2" w:themeShade="1A"/>
          <w:sz w:val="28"/>
          <w:szCs w:val="28"/>
        </w:rPr>
      </w:pPr>
    </w:p>
    <w:p w:rsidR="00180DF3" w:rsidRPr="00180DF3" w:rsidRDefault="00180DF3" w:rsidP="00180DF3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180DF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Рабочая  программа </w:t>
      </w:r>
    </w:p>
    <w:p w:rsidR="00180DF3" w:rsidRPr="00180DF3" w:rsidRDefault="00180DF3" w:rsidP="00180DF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DF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по внеурочной деятельности </w:t>
      </w:r>
      <w:r w:rsidRPr="00180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«Этот удивительный мир химии»</w:t>
      </w:r>
    </w:p>
    <w:p w:rsidR="00180DF3" w:rsidRPr="00180DF3" w:rsidRDefault="00180DF3" w:rsidP="00180DF3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180DF3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(наименование)</w:t>
      </w:r>
    </w:p>
    <w:p w:rsidR="00180DF3" w:rsidRPr="00180DF3" w:rsidRDefault="00180DF3" w:rsidP="00180DF3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180DF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направление </w:t>
      </w:r>
      <w:proofErr w:type="spellStart"/>
      <w:r w:rsidRPr="00180DF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общеинтеллектуальное</w:t>
      </w:r>
      <w:proofErr w:type="spellEnd"/>
    </w:p>
    <w:p w:rsidR="00180DF3" w:rsidRPr="00180DF3" w:rsidRDefault="006D7E4B" w:rsidP="00180DF3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общее образование (10</w:t>
      </w:r>
      <w:r w:rsidR="00180DF3" w:rsidRPr="00180DF3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180DF3" w:rsidRPr="00180DF3" w:rsidRDefault="00180DF3" w:rsidP="00180DF3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180DF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ab/>
      </w:r>
      <w:r w:rsidRPr="00180DF3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(уровень обучения/ класс)</w:t>
      </w:r>
    </w:p>
    <w:p w:rsidR="00180DF3" w:rsidRPr="00180DF3" w:rsidRDefault="00180DF3" w:rsidP="00180DF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80DF3" w:rsidRPr="00180DF3" w:rsidRDefault="00180DF3" w:rsidP="00180DF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</w:p>
    <w:p w:rsidR="00180DF3" w:rsidRPr="00180DF3" w:rsidRDefault="00180DF3" w:rsidP="00180DF3">
      <w:pPr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180DF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Составитель </w:t>
      </w:r>
    </w:p>
    <w:p w:rsidR="00180DF3" w:rsidRDefault="00180DF3" w:rsidP="00180DF3">
      <w:pPr>
        <w:spacing w:line="23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Казанцева Ирина Александровна,</w:t>
      </w:r>
    </w:p>
    <w:p w:rsidR="00180DF3" w:rsidRDefault="00180DF3" w:rsidP="00180DF3">
      <w:pPr>
        <w:spacing w:line="23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химии,</w:t>
      </w:r>
    </w:p>
    <w:p w:rsidR="00180DF3" w:rsidRPr="00180DF3" w:rsidRDefault="00180DF3" w:rsidP="00180DF3">
      <w:pPr>
        <w:spacing w:line="23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высшая </w:t>
      </w:r>
      <w:r w:rsidRPr="00180DF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квалификационная категория</w:t>
      </w:r>
    </w:p>
    <w:p w:rsidR="00180DF3" w:rsidRPr="00180DF3" w:rsidRDefault="00180DF3" w:rsidP="00180DF3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80DF3" w:rsidRPr="00180DF3" w:rsidRDefault="00180DF3" w:rsidP="00180DF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180DF3" w:rsidRPr="00180DF3" w:rsidRDefault="00180DF3" w:rsidP="00180DF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180DF3" w:rsidRPr="00180DF3" w:rsidRDefault="00180DF3" w:rsidP="00180DF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180DF3" w:rsidRPr="00180DF3" w:rsidRDefault="00180DF3" w:rsidP="00180DF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180DF3" w:rsidRPr="00180DF3" w:rsidRDefault="00180DF3" w:rsidP="00180DF3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80DF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г. Прокопьевск, 2019</w:t>
      </w:r>
    </w:p>
    <w:p w:rsidR="00180DF3" w:rsidRPr="00180DF3" w:rsidRDefault="00180DF3" w:rsidP="00180DF3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B3C0D" w:rsidRPr="006D7E4B" w:rsidRDefault="006D7E4B" w:rsidP="006D7E4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4B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6D7E4B" w:rsidRPr="006D7E4B" w:rsidRDefault="006D7E4B" w:rsidP="006D7E4B">
      <w:pPr>
        <w:pStyle w:val="Default"/>
        <w:jc w:val="both"/>
      </w:pPr>
      <w:r w:rsidRPr="006D7E4B">
        <w:rPr>
          <w:b/>
          <w:bCs/>
        </w:rPr>
        <w:t xml:space="preserve">Планируемые личностные результаты </w:t>
      </w:r>
    </w:p>
    <w:p w:rsidR="006D7E4B" w:rsidRPr="006D7E4B" w:rsidRDefault="006D7E4B" w:rsidP="006D7E4B">
      <w:pPr>
        <w:pStyle w:val="Default"/>
        <w:jc w:val="both"/>
      </w:pPr>
      <w:proofErr w:type="gramStart"/>
      <w:r w:rsidRPr="006D7E4B">
        <w:t xml:space="preserve">1) российская гражданская идентичность, патриотизм, уважение к своему народу, чувства ответственности перед Родиной, гордости за Россию, Кузбасс, Прокопьевск, прошлое и настоящее многонационального народа России, уважение государственных символов (герб, флаг, гимн); </w:t>
      </w:r>
      <w:proofErr w:type="gramEnd"/>
    </w:p>
    <w:p w:rsidR="006D7E4B" w:rsidRPr="006D7E4B" w:rsidRDefault="006D7E4B" w:rsidP="006D7E4B">
      <w:pPr>
        <w:pStyle w:val="Default"/>
        <w:jc w:val="both"/>
      </w:pPr>
      <w:proofErr w:type="gramStart"/>
      <w:r w:rsidRPr="006D7E4B">
        <w:t xml:space="preserve"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6D7E4B" w:rsidRPr="006D7E4B" w:rsidRDefault="006D7E4B" w:rsidP="006D7E4B">
      <w:pPr>
        <w:pStyle w:val="Default"/>
        <w:jc w:val="both"/>
      </w:pPr>
      <w:r w:rsidRPr="006D7E4B">
        <w:t xml:space="preserve">3) готовность к служению Отечеству, его защите;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4) </w:t>
      </w:r>
      <w:proofErr w:type="spellStart"/>
      <w:r w:rsidRPr="006D7E4B">
        <w:t>сформированность</w:t>
      </w:r>
      <w:proofErr w:type="spellEnd"/>
      <w:r w:rsidRPr="006D7E4B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5) </w:t>
      </w:r>
      <w:proofErr w:type="spellStart"/>
      <w:r w:rsidRPr="006D7E4B">
        <w:t>сформированность</w:t>
      </w:r>
      <w:proofErr w:type="spellEnd"/>
      <w:r w:rsidRPr="006D7E4B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8) нравственное сознание и поведение на основе усвоения общечеловеческих ценностей;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6D7E4B" w:rsidRPr="006D7E4B" w:rsidRDefault="006D7E4B" w:rsidP="006D7E4B">
      <w:pPr>
        <w:pStyle w:val="Default"/>
        <w:jc w:val="both"/>
      </w:pPr>
      <w:proofErr w:type="gramStart"/>
      <w:r w:rsidRPr="006D7E4B"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6D7E4B" w:rsidRPr="006D7E4B" w:rsidRDefault="006D7E4B" w:rsidP="006D7E4B">
      <w:pPr>
        <w:pStyle w:val="Default"/>
        <w:jc w:val="both"/>
      </w:pPr>
      <w:r w:rsidRPr="006D7E4B">
        <w:t xml:space="preserve">14) </w:t>
      </w:r>
      <w:proofErr w:type="spellStart"/>
      <w:r w:rsidRPr="006D7E4B">
        <w:t>сформированность</w:t>
      </w:r>
      <w:proofErr w:type="spellEnd"/>
      <w:r w:rsidRPr="006D7E4B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15) ответственное отношение к созданию семьи на основе осознанного принятия ценностей семейной жизни.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Для глухих, слабослышащих, позднооглохших обучающихся: </w:t>
      </w:r>
    </w:p>
    <w:p w:rsidR="006D7E4B" w:rsidRPr="006D7E4B" w:rsidRDefault="006D7E4B" w:rsidP="006D7E4B">
      <w:pPr>
        <w:pStyle w:val="Default"/>
        <w:jc w:val="both"/>
      </w:pPr>
      <w:r w:rsidRPr="006D7E4B">
        <w:lastRenderedPageBreak/>
        <w:t xml:space="preserve">-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Для </w:t>
      </w:r>
      <w:proofErr w:type="gramStart"/>
      <w:r w:rsidRPr="006D7E4B">
        <w:t>обучающихся</w:t>
      </w:r>
      <w:proofErr w:type="gramEnd"/>
      <w:r w:rsidRPr="006D7E4B">
        <w:t xml:space="preserve"> с нарушениями опорно-двигательного аппарата: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- 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- способность к осмыслению и дифференциации картины мира, ее временно-пространственной организации;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Для </w:t>
      </w:r>
      <w:proofErr w:type="gramStart"/>
      <w:r w:rsidRPr="006D7E4B">
        <w:t>обучающихся</w:t>
      </w:r>
      <w:proofErr w:type="gramEnd"/>
      <w:r w:rsidRPr="006D7E4B">
        <w:t xml:space="preserve"> с расстройствами </w:t>
      </w:r>
      <w:proofErr w:type="spellStart"/>
      <w:r w:rsidRPr="006D7E4B">
        <w:t>аутистического</w:t>
      </w:r>
      <w:proofErr w:type="spellEnd"/>
      <w:r w:rsidRPr="006D7E4B">
        <w:t xml:space="preserve"> спектра: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-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 </w:t>
      </w:r>
    </w:p>
    <w:p w:rsidR="006D7E4B" w:rsidRPr="006D7E4B" w:rsidRDefault="006D7E4B" w:rsidP="006D7E4B">
      <w:pPr>
        <w:pStyle w:val="Default"/>
        <w:rPr>
          <w:b/>
          <w:bCs/>
        </w:rPr>
      </w:pPr>
    </w:p>
    <w:p w:rsidR="006D7E4B" w:rsidRPr="006D7E4B" w:rsidRDefault="006D7E4B" w:rsidP="006D7E4B">
      <w:pPr>
        <w:pStyle w:val="Default"/>
        <w:jc w:val="center"/>
      </w:pPr>
      <w:r w:rsidRPr="006D7E4B">
        <w:rPr>
          <w:b/>
          <w:bCs/>
        </w:rPr>
        <w:t xml:space="preserve">Планируемые </w:t>
      </w:r>
      <w:proofErr w:type="spellStart"/>
      <w:r w:rsidRPr="006D7E4B">
        <w:rPr>
          <w:b/>
          <w:bCs/>
        </w:rPr>
        <w:t>метапредметные</w:t>
      </w:r>
      <w:proofErr w:type="spellEnd"/>
      <w:r w:rsidRPr="006D7E4B">
        <w:rPr>
          <w:b/>
          <w:bCs/>
        </w:rPr>
        <w:t xml:space="preserve"> результаты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6) умение определять назначение и функции различных социальных институтов;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Для глухих, слабослышащих, позднооглохших обучающихся: </w:t>
      </w:r>
    </w:p>
    <w:p w:rsidR="006D7E4B" w:rsidRPr="006D7E4B" w:rsidRDefault="006D7E4B" w:rsidP="006D7E4B">
      <w:pPr>
        <w:pStyle w:val="Default"/>
        <w:jc w:val="both"/>
      </w:pPr>
      <w:r w:rsidRPr="006D7E4B">
        <w:t>- владение навыками определения и исправления специфических ошибок (</w:t>
      </w:r>
      <w:proofErr w:type="spellStart"/>
      <w:r w:rsidRPr="006D7E4B">
        <w:t>аграмматизмов</w:t>
      </w:r>
      <w:proofErr w:type="spellEnd"/>
      <w:r w:rsidRPr="006D7E4B">
        <w:t xml:space="preserve">) в письменной и устной речи;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Для </w:t>
      </w:r>
      <w:proofErr w:type="gramStart"/>
      <w:r w:rsidRPr="006D7E4B">
        <w:t>обучающихся</w:t>
      </w:r>
      <w:proofErr w:type="gramEnd"/>
      <w:r w:rsidRPr="006D7E4B">
        <w:t xml:space="preserve"> с расстройствами </w:t>
      </w:r>
      <w:proofErr w:type="spellStart"/>
      <w:r w:rsidRPr="006D7E4B">
        <w:t>аутестического</w:t>
      </w:r>
      <w:proofErr w:type="spellEnd"/>
      <w:r w:rsidRPr="006D7E4B">
        <w:t xml:space="preserve"> спектра: </w:t>
      </w:r>
    </w:p>
    <w:p w:rsidR="006D7E4B" w:rsidRPr="006D7E4B" w:rsidRDefault="006D7E4B" w:rsidP="006D7E4B">
      <w:pPr>
        <w:pStyle w:val="Default"/>
        <w:jc w:val="both"/>
      </w:pPr>
      <w:r w:rsidRPr="006D7E4B">
        <w:lastRenderedPageBreak/>
        <w:t xml:space="preserve">- 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6D7E4B">
        <w:t>тьютора</w:t>
      </w:r>
      <w:proofErr w:type="spellEnd"/>
      <w:r w:rsidRPr="006D7E4B">
        <w:t xml:space="preserve">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-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6D7E4B">
        <w:t>тьютора</w:t>
      </w:r>
      <w:proofErr w:type="spellEnd"/>
      <w:r w:rsidRPr="006D7E4B">
        <w:t xml:space="preserve">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- овладение умением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6D7E4B">
        <w:t>тьютора</w:t>
      </w:r>
      <w:proofErr w:type="spellEnd"/>
      <w:r w:rsidRPr="006D7E4B">
        <w:t xml:space="preserve">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- овладение умением оценивать результат своей деятельности в соответствии с заданными эталонами при организующей помощи </w:t>
      </w:r>
      <w:proofErr w:type="spellStart"/>
      <w:r w:rsidRPr="006D7E4B">
        <w:t>тьютора</w:t>
      </w:r>
      <w:proofErr w:type="spellEnd"/>
      <w:r w:rsidRPr="006D7E4B">
        <w:t xml:space="preserve">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-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6D7E4B">
        <w:t>тьютора</w:t>
      </w:r>
      <w:proofErr w:type="spellEnd"/>
      <w:r w:rsidRPr="006D7E4B">
        <w:t xml:space="preserve">; </w:t>
      </w:r>
    </w:p>
    <w:p w:rsidR="006D7E4B" w:rsidRPr="006D7E4B" w:rsidRDefault="006D7E4B" w:rsidP="006D7E4B">
      <w:pPr>
        <w:pStyle w:val="Default"/>
      </w:pPr>
      <w:r w:rsidRPr="006D7E4B">
        <w:t>- овладение умением активного использования знаково-символических сре</w:t>
      </w:r>
      <w:proofErr w:type="gramStart"/>
      <w:r w:rsidRPr="006D7E4B">
        <w:t>дств дл</w:t>
      </w:r>
      <w:proofErr w:type="gramEnd"/>
      <w:r w:rsidRPr="006D7E4B"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6D7E4B">
        <w:t>тьютора</w:t>
      </w:r>
      <w:proofErr w:type="spellEnd"/>
      <w:r w:rsidRPr="006D7E4B">
        <w:t xml:space="preserve">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</w:t>
      </w:r>
    </w:p>
    <w:p w:rsidR="006D7E4B" w:rsidRPr="006D7E4B" w:rsidRDefault="006D7E4B" w:rsidP="006D7E4B">
      <w:pPr>
        <w:pStyle w:val="Default"/>
        <w:jc w:val="both"/>
      </w:pPr>
      <w:r w:rsidRPr="006D7E4B">
        <w:t xml:space="preserve">-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 </w:t>
      </w:r>
    </w:p>
    <w:p w:rsidR="006D7E4B" w:rsidRPr="006D7E4B" w:rsidRDefault="006D7E4B" w:rsidP="006D7E4B">
      <w:pPr>
        <w:pStyle w:val="Default"/>
        <w:rPr>
          <w:b/>
          <w:bCs/>
        </w:rPr>
      </w:pPr>
    </w:p>
    <w:p w:rsidR="006D7E4B" w:rsidRPr="006D7E4B" w:rsidRDefault="006D7E4B" w:rsidP="006D7E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4B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</w:p>
    <w:p w:rsidR="004B3C0D" w:rsidRPr="006D7E4B" w:rsidRDefault="006D7E4B" w:rsidP="006D7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E4B">
        <w:rPr>
          <w:rFonts w:ascii="Times New Roman" w:hAnsi="Times New Roman" w:cs="Times New Roman"/>
          <w:b/>
          <w:sz w:val="24"/>
          <w:szCs w:val="24"/>
        </w:rPr>
        <w:t xml:space="preserve">с указанием форм организации и видов деятельности </w:t>
      </w: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4477"/>
        <w:gridCol w:w="2057"/>
        <w:gridCol w:w="2929"/>
      </w:tblGrid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05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3B2845" w:rsidRPr="006D7E4B" w:rsidTr="002940E7">
        <w:trPr>
          <w:trHeight w:val="1680"/>
        </w:trPr>
        <w:tc>
          <w:tcPr>
            <w:tcW w:w="709" w:type="dxa"/>
          </w:tcPr>
          <w:p w:rsidR="003B2845" w:rsidRPr="006D7E4B" w:rsidRDefault="003B2845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</w:tcPr>
          <w:p w:rsidR="003B2845" w:rsidRPr="006D7E4B" w:rsidRDefault="003B2845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ТБ при работе в кабинете химии. Оказание первой медицинской помощи</w:t>
            </w:r>
          </w:p>
          <w:p w:rsidR="003B2845" w:rsidRPr="006D7E4B" w:rsidRDefault="003B2845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Основные классы неорганических соединений 15ч</w:t>
            </w:r>
          </w:p>
        </w:tc>
        <w:tc>
          <w:tcPr>
            <w:tcW w:w="2057" w:type="dxa"/>
            <w:vAlign w:val="center"/>
          </w:tcPr>
          <w:p w:rsidR="003B2845" w:rsidRPr="006D7E4B" w:rsidRDefault="003B2845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29" w:type="dxa"/>
          </w:tcPr>
          <w:p w:rsidR="003B2845" w:rsidRPr="006D7E4B" w:rsidRDefault="003B2845" w:rsidP="006D7E4B">
            <w:pPr>
              <w:pStyle w:val="a5"/>
              <w:spacing w:before="0" w:beforeAutospacing="0" w:after="0" w:afterAutospacing="0" w:line="23" w:lineRule="atLeast"/>
            </w:pPr>
            <w:r w:rsidRPr="006D7E4B">
              <w:t>Приобретение школьником знаний о безопасной работе в химическом кабинете.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сложных неорганических веществ.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неорганические соединения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оксидов.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и свойства оксидов</w:t>
            </w:r>
            <w:proofErr w:type="gramStart"/>
            <w:r w:rsidRPr="006D7E4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6D7E4B">
              <w:rPr>
                <w:rFonts w:ascii="Times New Roman" w:hAnsi="Times New Roman" w:cs="Times New Roman"/>
                <w:sz w:val="24"/>
                <w:szCs w:val="24"/>
              </w:rPr>
              <w:t xml:space="preserve">аписывать уравнения химических реакций. </w:t>
            </w:r>
          </w:p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основных оксидов на примере оксида меди (II)».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реакций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подтверждающих химические свойства основных оксидов 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кислотных оксидов на примере оксида углерода (IV)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реакций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подтверждающих химические свойства кислотных оксидов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состав и </w:t>
            </w:r>
            <w:r w:rsidRPr="006D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кислот. Записывать уравнения химических реакций. </w:t>
            </w:r>
          </w:p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 на примере соляной кислоты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реакций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подтверждающих химические свойства кислот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 на примере уксусной кислоты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реакций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подтверждающих химические свойства кислот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и свойства оснований</w:t>
            </w:r>
            <w:proofErr w:type="gramStart"/>
            <w:r w:rsidRPr="006D7E4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6D7E4B">
              <w:rPr>
                <w:rFonts w:ascii="Times New Roman" w:hAnsi="Times New Roman" w:cs="Times New Roman"/>
                <w:sz w:val="24"/>
                <w:szCs w:val="24"/>
              </w:rPr>
              <w:t xml:space="preserve">аписывать уравнения химических реакций. </w:t>
            </w:r>
          </w:p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щелочей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 </w:t>
            </w:r>
          </w:p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реакций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подтверждающих химические свойства щелочей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«Химические свойства нерастворимых в воде оснований на примере </w:t>
            </w:r>
            <w:proofErr w:type="spell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 (II)».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реакций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подтверждающих химические свойства нерастворимых оснований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и свойства солей</w:t>
            </w:r>
            <w:proofErr w:type="gramStart"/>
            <w:r w:rsidRPr="006D7E4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6D7E4B">
              <w:rPr>
                <w:rFonts w:ascii="Times New Roman" w:hAnsi="Times New Roman" w:cs="Times New Roman"/>
                <w:sz w:val="24"/>
                <w:szCs w:val="24"/>
              </w:rPr>
              <w:t xml:space="preserve">аписывать уравнения химических реакций. </w:t>
            </w:r>
          </w:p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 на примере сульфата меди (II)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 Практическая работа</w:t>
            </w:r>
          </w:p>
        </w:tc>
        <w:tc>
          <w:tcPr>
            <w:tcW w:w="2929" w:type="dxa"/>
          </w:tcPr>
          <w:p w:rsidR="003B2845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реакций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</w:t>
            </w:r>
            <w:proofErr w:type="spellEnd"/>
          </w:p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химические свойства солей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классами веществ.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генетическую связь неорганических соединений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Эксперимент: «Выполнение цепочки превращений».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реакций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подтверждающих генетическую связь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Эксперимент: «Определение веществ с помощью качественных реакций в пронумерованных пробирках».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реакций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подтверждающих качественный состав веществ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Строение атома 4ч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элемента по положению в Периодической системе Д.И. Менделеева.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 химические элементы по ПС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электрона в атоме (квантовые числа).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электронных формул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электрона в атоме (квантовые числа).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квантовых чисел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электрона в атоме (квантовые числа).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состояние электрона с помощью квантовых чисел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Химическая связь 2ч.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связей в соединениях (ковалентная связь).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ковалентной связи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связей в соединениях (ионная связь).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ионной связи. Определение типа связи в соединениях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Решение расчетных задач   9ч.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Моль. Молярная масса. Решение задач по формуле.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задач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количество вещества и молярной массы по формуле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Молярный объём. Объём газов. Решение задач по формуле.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решение задач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молярного объема газа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уравнению реакции. Масса одного вещества дана. Найти массу другого вещества.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по уравнениям химических реакций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уравнению реакции. Масса одного вещества дана. Найти объём получившегося вещества.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задач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по уравнениям химических реакций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избыток-недостаток.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задач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по уравнениям химических реакций, если вещества даны в избытке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веществ, содержащих примеси.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задач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по уравнениям химических реакций, если вещества содержат примеси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растворов с определённой массовой долей растворённого вещества.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задач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по уравнениям химических реакций с использованием растворов с определенной массовой долей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процентный выход от теоретически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возможного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задач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задач по уравнениям химических реакций на процентный выход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 возможного.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комбинированных задач.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комбинированных задач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Занимательная химия 3ч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фокусы</w:t>
            </w:r>
          </w:p>
        </w:tc>
        <w:tc>
          <w:tcPr>
            <w:tcW w:w="2057" w:type="dxa"/>
            <w:vAlign w:val="center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экспериментов</w:t>
            </w:r>
          </w:p>
        </w:tc>
      </w:tr>
      <w:tr w:rsidR="004B3C0D" w:rsidRPr="006D7E4B" w:rsidTr="0060020A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5.2-5.3</w:t>
            </w:r>
          </w:p>
        </w:tc>
        <w:tc>
          <w:tcPr>
            <w:tcW w:w="4477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«Этот удивительный мир химии»</w:t>
            </w:r>
          </w:p>
        </w:tc>
        <w:tc>
          <w:tcPr>
            <w:tcW w:w="2057" w:type="dxa"/>
            <w:vAlign w:val="center"/>
          </w:tcPr>
          <w:p w:rsidR="004B3C0D" w:rsidRPr="006D7E4B" w:rsidRDefault="006752C5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защита проекта</w:t>
            </w:r>
          </w:p>
        </w:tc>
        <w:tc>
          <w:tcPr>
            <w:tcW w:w="292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путешествия для учащихся 7 классов в «Удивительный мир химии»</w:t>
            </w:r>
          </w:p>
        </w:tc>
      </w:tr>
    </w:tbl>
    <w:p w:rsidR="004B3C0D" w:rsidRPr="006D7E4B" w:rsidRDefault="004B3C0D" w:rsidP="006D7E4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4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3389"/>
        <w:gridCol w:w="828"/>
        <w:gridCol w:w="5246"/>
      </w:tblGrid>
      <w:tr w:rsidR="004B3C0D" w:rsidRPr="006D7E4B" w:rsidTr="006D7E4B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8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6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B3C0D" w:rsidRPr="006D7E4B" w:rsidTr="006D7E4B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28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4B3C0D" w:rsidRPr="006D7E4B" w:rsidRDefault="00B17E5D" w:rsidP="006D7E4B">
            <w:pPr>
              <w:pStyle w:val="a3"/>
              <w:shd w:val="clear" w:color="auto" w:fill="FFFFFF"/>
              <w:spacing w:line="2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 </w:t>
            </w:r>
            <w:r w:rsidR="004B3C0D"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природе и здоровью человека.</w:t>
            </w:r>
          </w:p>
          <w:p w:rsidR="004B3C0D" w:rsidRPr="006D7E4B" w:rsidRDefault="00B17E5D" w:rsidP="006D7E4B">
            <w:pPr>
              <w:pStyle w:val="a3"/>
              <w:shd w:val="clear" w:color="auto" w:fill="FFFFFF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4B3C0D"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гигиенических и экологических знаний.</w:t>
            </w:r>
          </w:p>
        </w:tc>
      </w:tr>
      <w:tr w:rsidR="004B3C0D" w:rsidRPr="006D7E4B" w:rsidTr="006D7E4B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классы неорганических соединений</w:t>
            </w:r>
          </w:p>
        </w:tc>
        <w:tc>
          <w:tcPr>
            <w:tcW w:w="828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</w:tcPr>
          <w:p w:rsidR="004B3C0D" w:rsidRPr="006D7E4B" w:rsidRDefault="00B17E5D" w:rsidP="006D7E4B">
            <w:pPr>
              <w:pStyle w:val="a3"/>
              <w:shd w:val="clear" w:color="auto" w:fill="FFFFFF"/>
              <w:spacing w:line="2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3C0D"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B3C0D"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изучению химии в дальнейшем.</w:t>
            </w:r>
          </w:p>
          <w:p w:rsidR="004B3C0D" w:rsidRPr="006D7E4B" w:rsidRDefault="004B3C0D" w:rsidP="006D7E4B">
            <w:pPr>
              <w:pStyle w:val="a3"/>
              <w:shd w:val="clear" w:color="auto" w:fill="FFFFFF"/>
              <w:spacing w:line="23" w:lineRule="atLeas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приемов исследовательской деятельности (составление плана, использование приборов, формулировка выводов и т. п.). </w:t>
            </w:r>
          </w:p>
          <w:p w:rsidR="004B3C0D" w:rsidRPr="006D7E4B" w:rsidRDefault="00B17E5D" w:rsidP="006D7E4B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Развитие коммуникативных умений и овладение опытом межличностной коммуникации (ведение дискуссии, работа в группах, выступление с сообщениями и т. д.).</w:t>
            </w:r>
          </w:p>
        </w:tc>
      </w:tr>
      <w:tr w:rsidR="004B3C0D" w:rsidRPr="006D7E4B" w:rsidTr="006D7E4B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атома </w:t>
            </w:r>
          </w:p>
        </w:tc>
        <w:tc>
          <w:tcPr>
            <w:tcW w:w="828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047820" w:rsidRPr="006D7E4B" w:rsidRDefault="00B17E5D" w:rsidP="006D7E4B">
            <w:pPr>
              <w:shd w:val="clear" w:color="auto" w:fill="FFFFFF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</w:t>
            </w:r>
            <w:r w:rsidR="00B1292A"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 учащихся</w:t>
            </w:r>
          </w:p>
          <w:p w:rsidR="004B3C0D" w:rsidRPr="006D7E4B" w:rsidRDefault="00B17E5D" w:rsidP="006D7E4B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</w:t>
            </w:r>
            <w:r w:rsidR="00B1292A"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C0D"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приемов работы с информацией, представленной в различной форме (таблицы, графики, рисунки) на различных носителях (книги, Интернет, CD, периодические издания).</w:t>
            </w:r>
            <w:proofErr w:type="gramEnd"/>
          </w:p>
        </w:tc>
      </w:tr>
      <w:tr w:rsidR="004B3C0D" w:rsidRPr="006D7E4B" w:rsidTr="006D7E4B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Химическая связь </w:t>
            </w:r>
          </w:p>
        </w:tc>
        <w:tc>
          <w:tcPr>
            <w:tcW w:w="828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B17E5D" w:rsidRPr="006D7E4B" w:rsidRDefault="00B17E5D" w:rsidP="006D7E4B">
            <w:pPr>
              <w:shd w:val="clear" w:color="auto" w:fill="FFFFFF"/>
              <w:spacing w:line="23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 Формирование мотивации к изучению химии в дальнейшем.</w:t>
            </w:r>
          </w:p>
          <w:p w:rsidR="004B3C0D" w:rsidRPr="006D7E4B" w:rsidRDefault="00B17E5D" w:rsidP="006D7E4B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</w:t>
            </w:r>
            <w:r w:rsidR="00B1292A"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дальнейшее формирование общенаучных, экспериментальных и интеллектуальных умений.</w:t>
            </w:r>
          </w:p>
        </w:tc>
      </w:tr>
      <w:tr w:rsidR="004B3C0D" w:rsidRPr="006D7E4B" w:rsidTr="006D7E4B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расчетных задач   </w:t>
            </w:r>
          </w:p>
        </w:tc>
        <w:tc>
          <w:tcPr>
            <w:tcW w:w="828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4B3C0D" w:rsidRPr="006D7E4B" w:rsidRDefault="00B17E5D" w:rsidP="006D7E4B">
            <w:pPr>
              <w:shd w:val="clear" w:color="auto" w:fill="FFFFFF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</w:t>
            </w:r>
            <w:r w:rsidR="004B3C0D"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 учащихся.</w:t>
            </w:r>
          </w:p>
          <w:p w:rsidR="004B3C0D" w:rsidRPr="006D7E4B" w:rsidRDefault="00047820" w:rsidP="006D7E4B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Развитие и дальнейшее формирование общенаучных, экспериментальных и интеллектуальных умений.</w:t>
            </w:r>
          </w:p>
        </w:tc>
      </w:tr>
      <w:tr w:rsidR="004B3C0D" w:rsidRPr="006D7E4B" w:rsidTr="006D7E4B">
        <w:tc>
          <w:tcPr>
            <w:tcW w:w="70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химия </w:t>
            </w:r>
          </w:p>
        </w:tc>
        <w:tc>
          <w:tcPr>
            <w:tcW w:w="828" w:type="dxa"/>
          </w:tcPr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4B3C0D" w:rsidRPr="006D7E4B" w:rsidRDefault="00047820" w:rsidP="006D7E4B">
            <w:pPr>
              <w:shd w:val="clear" w:color="auto" w:fill="FFFFFF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</w:t>
            </w:r>
            <w:r w:rsidR="004B3C0D"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задатков и способностей.</w:t>
            </w:r>
          </w:p>
          <w:p w:rsidR="004B3C0D" w:rsidRPr="006D7E4B" w:rsidRDefault="00047820" w:rsidP="006D7E4B">
            <w:pPr>
              <w:shd w:val="clear" w:color="auto" w:fill="FFFFFF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</w:t>
            </w:r>
            <w:r w:rsidR="00B1292A"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E5D" w:rsidRPr="006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Рразвитие коммуникативных умений и овладение опытом межличностной коммуникации (ведение дискуссии, работа в группах, выступление с сообщениями и т. д.).</w:t>
            </w:r>
          </w:p>
          <w:p w:rsidR="004B3C0D" w:rsidRPr="006D7E4B" w:rsidRDefault="004B3C0D" w:rsidP="006D7E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F1A" w:rsidRPr="006D7E4B" w:rsidRDefault="006D7F1A" w:rsidP="006D7E4B">
      <w:pPr>
        <w:spacing w:after="0" w:line="23" w:lineRule="atLeast"/>
        <w:jc w:val="center"/>
        <w:rPr>
          <w:b/>
          <w:sz w:val="24"/>
          <w:szCs w:val="24"/>
        </w:rPr>
      </w:pPr>
    </w:p>
    <w:sectPr w:rsidR="006D7F1A" w:rsidRPr="006D7E4B" w:rsidSect="006D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EFC"/>
    <w:multiLevelType w:val="hybridMultilevel"/>
    <w:tmpl w:val="8468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240B9"/>
    <w:multiLevelType w:val="hybridMultilevel"/>
    <w:tmpl w:val="7FF8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3C0D"/>
    <w:rsid w:val="00047820"/>
    <w:rsid w:val="00100D7E"/>
    <w:rsid w:val="00180DF3"/>
    <w:rsid w:val="00231B42"/>
    <w:rsid w:val="003B2845"/>
    <w:rsid w:val="004937B3"/>
    <w:rsid w:val="004B3C0D"/>
    <w:rsid w:val="006752C5"/>
    <w:rsid w:val="006B6380"/>
    <w:rsid w:val="006D7E4B"/>
    <w:rsid w:val="006D7F1A"/>
    <w:rsid w:val="007546E6"/>
    <w:rsid w:val="00A13062"/>
    <w:rsid w:val="00A57217"/>
    <w:rsid w:val="00B11F40"/>
    <w:rsid w:val="00B1292A"/>
    <w:rsid w:val="00B17E5D"/>
    <w:rsid w:val="00B5112A"/>
    <w:rsid w:val="00BA6FE3"/>
    <w:rsid w:val="00CA020F"/>
    <w:rsid w:val="00E3428C"/>
    <w:rsid w:val="00F2203F"/>
    <w:rsid w:val="00F2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C0D"/>
    <w:pPr>
      <w:ind w:left="720"/>
      <w:contextualSpacing/>
    </w:pPr>
  </w:style>
  <w:style w:type="table" w:styleId="a4">
    <w:name w:val="Table Grid"/>
    <w:basedOn w:val="a1"/>
    <w:uiPriority w:val="59"/>
    <w:rsid w:val="004B3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7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B1DB-80E1-4D5D-A35E-45E76EF6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Казанцевы</dc:creator>
  <cp:lastModifiedBy>User</cp:lastModifiedBy>
  <cp:revision>10</cp:revision>
  <cp:lastPrinted>2019-11-06T05:09:00Z</cp:lastPrinted>
  <dcterms:created xsi:type="dcterms:W3CDTF">2019-01-24T17:19:00Z</dcterms:created>
  <dcterms:modified xsi:type="dcterms:W3CDTF">2019-11-06T05:10:00Z</dcterms:modified>
</cp:coreProperties>
</file>